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36ED4E00" w:rsidR="003445B4" w:rsidRDefault="003E48D3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36A986" wp14:editId="7FB5A779">
            <wp:simplePos x="0" y="0"/>
            <wp:positionH relativeFrom="column">
              <wp:posOffset>53340</wp:posOffset>
            </wp:positionH>
            <wp:positionV relativeFrom="paragraph">
              <wp:posOffset>6985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72DD82BC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9B6B0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9B6B0A" w:rsidRPr="009B6B0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6C79D2FB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36F32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4357A33E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r w:rsidR="00EB40AF">
              <w:t>…….. wydane</w:t>
            </w:r>
            <w:r w:rsidR="0015246F">
              <w:t xml:space="preserve">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36F32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141E5885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>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36F32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36F32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E78C4CA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36F32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36F32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2DDD518D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EB40AF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36F32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36F32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4C51" w14:textId="77777777" w:rsidR="00782713" w:rsidRDefault="00782713" w:rsidP="004B7D36">
      <w:pPr>
        <w:spacing w:after="0" w:line="240" w:lineRule="auto"/>
      </w:pPr>
      <w:r>
        <w:separator/>
      </w:r>
    </w:p>
  </w:endnote>
  <w:endnote w:type="continuationSeparator" w:id="0">
    <w:p w14:paraId="4DE4CD49" w14:textId="77777777" w:rsidR="00782713" w:rsidRDefault="0078271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BD73" w14:textId="77777777" w:rsidR="00782713" w:rsidRDefault="00782713" w:rsidP="004B7D36">
      <w:pPr>
        <w:spacing w:after="0" w:line="240" w:lineRule="auto"/>
      </w:pPr>
      <w:r>
        <w:separator/>
      </w:r>
    </w:p>
  </w:footnote>
  <w:footnote w:type="continuationSeparator" w:id="0">
    <w:p w14:paraId="27F36906" w14:textId="77777777" w:rsidR="00782713" w:rsidRDefault="00782713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5A71A55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071052">
    <w:abstractNumId w:val="28"/>
  </w:num>
  <w:num w:numId="2" w16cid:durableId="867179550">
    <w:abstractNumId w:val="1"/>
  </w:num>
  <w:num w:numId="3" w16cid:durableId="2135175090">
    <w:abstractNumId w:val="30"/>
  </w:num>
  <w:num w:numId="4" w16cid:durableId="76286968">
    <w:abstractNumId w:val="13"/>
  </w:num>
  <w:num w:numId="5" w16cid:durableId="1641423864">
    <w:abstractNumId w:val="24"/>
  </w:num>
  <w:num w:numId="6" w16cid:durableId="1368140113">
    <w:abstractNumId w:val="25"/>
  </w:num>
  <w:num w:numId="7" w16cid:durableId="1472288939">
    <w:abstractNumId w:val="3"/>
  </w:num>
  <w:num w:numId="8" w16cid:durableId="699089740">
    <w:abstractNumId w:val="12"/>
  </w:num>
  <w:num w:numId="9" w16cid:durableId="383405703">
    <w:abstractNumId w:val="4"/>
  </w:num>
  <w:num w:numId="10" w16cid:durableId="652804908">
    <w:abstractNumId w:val="37"/>
  </w:num>
  <w:num w:numId="11" w16cid:durableId="222371371">
    <w:abstractNumId w:val="11"/>
  </w:num>
  <w:num w:numId="12" w16cid:durableId="389616542">
    <w:abstractNumId w:val="21"/>
  </w:num>
  <w:num w:numId="13" w16cid:durableId="2113160466">
    <w:abstractNumId w:val="6"/>
  </w:num>
  <w:num w:numId="14" w16cid:durableId="1729302233">
    <w:abstractNumId w:val="7"/>
  </w:num>
  <w:num w:numId="15" w16cid:durableId="1018770850">
    <w:abstractNumId w:val="22"/>
  </w:num>
  <w:num w:numId="16" w16cid:durableId="321348609">
    <w:abstractNumId w:val="27"/>
  </w:num>
  <w:num w:numId="17" w16cid:durableId="1055541586">
    <w:abstractNumId w:val="34"/>
  </w:num>
  <w:num w:numId="18" w16cid:durableId="908156560">
    <w:abstractNumId w:val="33"/>
  </w:num>
  <w:num w:numId="19" w16cid:durableId="1629703857">
    <w:abstractNumId w:val="2"/>
  </w:num>
  <w:num w:numId="20" w16cid:durableId="1033993805">
    <w:abstractNumId w:val="35"/>
  </w:num>
  <w:num w:numId="21" w16cid:durableId="1399329413">
    <w:abstractNumId w:val="16"/>
  </w:num>
  <w:num w:numId="22" w16cid:durableId="1826701789">
    <w:abstractNumId w:val="19"/>
  </w:num>
  <w:num w:numId="23" w16cid:durableId="396362954">
    <w:abstractNumId w:val="36"/>
  </w:num>
  <w:num w:numId="24" w16cid:durableId="747967180">
    <w:abstractNumId w:val="31"/>
  </w:num>
  <w:num w:numId="25" w16cid:durableId="907762220">
    <w:abstractNumId w:val="29"/>
  </w:num>
  <w:num w:numId="26" w16cid:durableId="87120744">
    <w:abstractNumId w:val="5"/>
  </w:num>
  <w:num w:numId="27" w16cid:durableId="1533416221">
    <w:abstractNumId w:val="14"/>
  </w:num>
  <w:num w:numId="28" w16cid:durableId="2133205521">
    <w:abstractNumId w:val="9"/>
  </w:num>
  <w:num w:numId="29" w16cid:durableId="2075856275">
    <w:abstractNumId w:val="26"/>
  </w:num>
  <w:num w:numId="30" w16cid:durableId="876700384">
    <w:abstractNumId w:val="15"/>
  </w:num>
  <w:num w:numId="31" w16cid:durableId="784269567">
    <w:abstractNumId w:val="23"/>
  </w:num>
  <w:num w:numId="32" w16cid:durableId="1404109011">
    <w:abstractNumId w:val="32"/>
  </w:num>
  <w:num w:numId="33" w16cid:durableId="509880494">
    <w:abstractNumId w:val="8"/>
  </w:num>
  <w:num w:numId="34" w16cid:durableId="29185621">
    <w:abstractNumId w:val="0"/>
  </w:num>
  <w:num w:numId="35" w16cid:durableId="1524242381">
    <w:abstractNumId w:val="20"/>
  </w:num>
  <w:num w:numId="36" w16cid:durableId="808009880">
    <w:abstractNumId w:val="18"/>
  </w:num>
  <w:num w:numId="37" w16cid:durableId="1160384015">
    <w:abstractNumId w:val="17"/>
  </w:num>
  <w:num w:numId="38" w16cid:durableId="1526213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36F32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0F22AC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36B1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E48D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7F5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2713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6B0A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40AF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675F346-F0AC-4E52-90B5-6C15DDEA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7</cp:revision>
  <cp:lastPrinted>2023-03-07T07:57:00Z</cp:lastPrinted>
  <dcterms:created xsi:type="dcterms:W3CDTF">2025-02-06T09:21:00Z</dcterms:created>
  <dcterms:modified xsi:type="dcterms:W3CDTF">2025-11-19T11:38:00Z</dcterms:modified>
</cp:coreProperties>
</file>